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TS-0137 · Tax</w:t>
      </w:r>
    </w:p>
    <w:p>
      <w:pPr>
        <w:pStyle w:val="Title"/>
      </w:pPr>
      <w:r>
        <w:t xml:space="preserve">Commercial Expediency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an expense was laid out for the purpose of the business, judged from the standpoint of a prudent businessman.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37(1)</w:t>
      </w:r>
    </w:p>
    <w:p>
      <w:pPr>
        <w:pStyle w:val="Bullet"/>
      </w:pPr>
      <w:r>
        <w:t xml:space="preserve">•  S.A. Builders Ltd. v. CIT, (2007) 1 SCC 781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https://firstprecedent.org/tests/commercial-expediency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