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TS-0046 · Competition</w:t>
      </w:r>
    </w:p>
    <w:p>
      <w:pPr>
        <w:pStyle w:val="Title"/>
      </w:pPr>
      <w:r>
        <w:t xml:space="preserve">Review of Combinations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Thresholds, the standstill obligation, and the factors for judging whether a merger harms competition.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 6, 20(4)</w:t>
      </w:r>
    </w:p>
    <w:p>
      <w:pPr>
        <w:pStyle w:val="Bullet"/>
      </w:pPr>
      <w:r>
        <w:t xml:space="preserve">•  SCM Solifert Ltd. v. CCI, (2018) 6 SCC 631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https://firstprecedent.org/tests/combination-review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