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TS-0014 · Evidence</w:t>
      </w:r>
    </w:p>
    <w:p>
      <w:pPr>
        <w:pStyle w:val="Title"/>
      </w:pPr>
      <w:r>
        <w:t xml:space="preserve">The Five Golden Principles of Circumstantial Evidence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five conditions a chain of circumstances must meet before it can sustain a conviction.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Sharad Birdhichand Sarda v. State of Maharashtra, (1984) 4 SCC 116</w:t>
      </w:r>
    </w:p>
    <w:p>
      <w:pPr>
        <w:pStyle w:val="Bullet"/>
      </w:pPr>
      <w:r>
        <w:t xml:space="preserve">•  Hanumant Govind Nargundkar v. State of M.P., AIR 1952 SC 343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https://firstprecedent.org/tests/circumstantial-evidence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