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TS-0052 · Banking</w:t>
      </w:r>
    </w:p>
    <w:p>
      <w:pPr>
        <w:pStyle w:val="Title"/>
      </w:pPr>
      <w:r>
        <w:t xml:space="preserve">The Ingredients of Cheque Dishonour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legally enforceable debt, presentation, dishonour, notice and failure to pay, with the presumption in favour of the holder.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138–139</w:t>
      </w:r>
    </w:p>
    <w:p>
      <w:pPr>
        <w:pStyle w:val="Bullet"/>
      </w:pPr>
      <w:r>
        <w:t xml:space="preserve">•  Rangappa v. Sri Mohan, (2010) 11 SCC 441</w:t>
      </w:r>
    </w:p>
    <w:p>
      <w:pPr>
        <w:pStyle w:val="Bullet"/>
      </w:pPr>
      <w:r>
        <w:t xml:space="preserve">•  Dashrath Rupsingh Rathod v. State of Maharashtra, (2014) 9 SCC 129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https://firstprecedent.org/tests/cheque-dishonour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