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TS-0042 · Tax</w:t>
      </w:r>
    </w:p>
    <w:p>
      <w:pPr>
        <w:pStyle w:val="Title"/>
      </w:pPr>
      <w:r>
        <w:t xml:space="preserve">Capital or Revenue Expenditure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enduring benefit test, its limits, and why no single test decides every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Empire Jute Co. Ltd. v. CIT, (1980) 4 SCC 25</w:t>
      </w:r>
    </w:p>
    <w:p>
      <w:pPr>
        <w:pStyle w:val="Bullet"/>
      </w:pPr>
      <w:r>
        <w:t xml:space="preserve">•  Assam Bengal Cement Co. Ltd. v. CIT, AIR 1955 SC 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https://firstprecedent.org/tests/capital-or-revenue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