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TS-0101 · Criminal</w:t>
      </w:r>
    </w:p>
    <w:p>
      <w:pPr>
        <w:pStyle w:val="Title"/>
      </w:pPr>
      <w:r>
        <w:t xml:space="preserve">Cancellation of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difference between refusing bail and cancelling it, and the supervening circumstances the second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Dolat Ram v. State of Haryana, (1995) 1 SCC 349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https://firstprecedent.org/tests/cancellation-of-bail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