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TS-0044 · Tax</w:t>
      </w:r>
    </w:p>
    <w:p>
      <w:pPr>
        <w:pStyle w:val="Title"/>
      </w:pPr>
      <w:r>
        <w:t xml:space="preserve">Business Connection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non-resident’s income is deemed to accrue in India through a connection with activity here.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9(1)(i)</w:t>
      </w:r>
    </w:p>
    <w:p>
      <w:pPr>
        <w:pStyle w:val="Bullet"/>
      </w:pPr>
      <w:r>
        <w:t xml:space="preserve">•  CIT v. R.D. Aggarwal &amp; Co., AIR 1965 SC 1526</w:t>
      </w:r>
    </w:p>
    <w:p>
      <w:pPr>
        <w:pStyle w:val="Bullet"/>
      </w:pPr>
      <w:r>
        <w:t xml:space="preserve">•  Ishikawajima-Harima Heavy Industries Ltd. v. DIT, (2007) 3 SCC 481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https://firstprecedent.org/tests/business-connection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