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TS-0165 · Property</w:t>
      </w:r>
    </w:p>
    <w:p>
      <w:pPr>
        <w:pStyle w:val="Title"/>
      </w:pPr>
      <w:r>
        <w:t xml:space="preserve">Bona Fide Requirement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landlord’s need for the premises is genuine, judged objectively and not by the tenant’s view of what the landlord should do.</w:t>
      </w:r>
    </w:p>
    <w:p>
      <w:pPr>
        <w:pStyle w:val="Guidance"/>
      </w:pPr>
      <w:r>
        <w:t xml:space="preserve">Authorities to start from. These are places to begin, listed by the editors. Read each one in the original and check the citation before you rely on it.</w:t>
      </w:r>
    </w:p>
    <w:p>
      <w:pPr>
        <w:pStyle w:val="Bullet"/>
      </w:pPr>
      <w:r>
        <w:t xml:space="preserve">•  Shiv Sarup Gupta v. Dr. Mahesh Chand Gupta, (1999) 6 SCC 222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https://firstprecedent.org/tests/bona-fide-requirement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