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TS-0036 · Family</w:t>
      </w:r>
    </w:p>
    <w:p>
      <w:pPr>
        <w:pStyle w:val="Title"/>
      </w:pPr>
      <w:r>
        <w:t xml:space="preserve">Deciding Custody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a court weighs in awarding custody: the child’s wishes, stability, each parent’s capacity, and the limited role of the "tender years"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Gaurav Nagpal v. Sumedha Nagpal, (2009) 1 SCC 42</w:t>
      </w:r>
    </w:p>
    <w:p>
      <w:pPr>
        <w:pStyle w:val="Bullet"/>
      </w:pPr>
      <w:r>
        <w:t xml:space="preserve">•  Roxann Sharma v. Arun Sharma, (2015) 8 SCC 318</w:t>
      </w:r>
    </w:p>
    <w:p>
      <w:pPr>
        <w:pStyle w:val="Bullet"/>
      </w:pPr>
      <w:r>
        <w:t xml:space="preserve">•  Hindu Minority and Guardianship Act, 1956, §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https://firstprecedent.org/tests/best-interests-custody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