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TS-0069 · International (Public)</w:t>
      </w:r>
    </w:p>
    <w:p>
      <w:pPr>
        <w:pStyle w:val="Title"/>
      </w:pPr>
      <w:r>
        <w:t xml:space="preserve">Attribution of Conduct to a State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the act of an organ, an official or a private group counts as the act of the State for international responsibility.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Int’l Law Comm’n, Articles on Responsibility of States for Internationally Wrongful Acts, arts. 4–11 (2001)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https://firstprecedent.org/tests/attribution-of-conduct-to-a-state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