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TS-0027 · Competition</w:t>
      </w:r>
    </w:p>
    <w:p>
      <w:pPr>
        <w:pStyle w:val="Title"/>
      </w:pPr>
      <w:r>
        <w:t xml:space="preserve">Appreciable Adverse Effect on Competition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standard for anti-competitive agreements: the statutory factors, the presumption for cartels, and how it is rebutted.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 19(3)</w:t>
      </w:r>
    </w:p>
    <w:p>
      <w:pPr>
        <w:pStyle w:val="Bullet"/>
      </w:pPr>
      <w:r>
        <w:t xml:space="preserve">•  Rajasthan Cylinders &amp; Containers Ltd. v. Union of India, (2020) 16 SCC 615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https://firstprecedent.org/tests/appreciable-adverse-effect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