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TS-0077 · Media</w:t>
      </w:r>
    </w:p>
    <w:p>
      <w:pPr>
        <w:pStyle w:val="Title"/>
      </w:pPr>
      <w:r>
        <w:t xml:space="preserve">Discussion, Advocacy and Incitement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three stages of speech, of which only incitement can be restricted in the interest of public order.</w:t>
      </w:r>
    </w:p>
    <w:p>
      <w:pPr>
        <w:pStyle w:val="Guidance"/>
      </w:pPr>
      <w:r>
        <w:t xml:space="preserve">Authorities to start from. These are places to begin, listed by the editors. Read each one in the original and check the citation before you rely on it.</w:t>
      </w:r>
    </w:p>
    <w:p>
      <w:pPr>
        <w:pStyle w:val="Bullet"/>
      </w:pPr>
      <w:r>
        <w:t xml:space="preserve">•  Shreya Singhal v. Union of India, (2015) 5 SCC 1</w:t>
      </w:r>
    </w:p>
    <w:p>
      <w:pPr>
        <w:pStyle w:val="Bullet"/>
      </w:pPr>
      <w:r>
        <w:t xml:space="preserve">•  Kedar Nath Singh v. State of Bihar, AIR 1962 SC 955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https://firstprecedent.org/tests/advocacy-or-incitement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