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TS-0045 · Competition</w:t>
      </w:r>
    </w:p>
    <w:p>
      <w:pPr>
        <w:pStyle w:val="Title"/>
      </w:pPr>
      <w:r>
        <w:t xml:space="preserve">Abuse of Dominance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listed abuses, from unfair pricing to denial of market access, and whether effects must be shown.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4(2)</w:t>
      </w:r>
    </w:p>
    <w:p>
      <w:pPr>
        <w:pStyle w:val="Bullet"/>
      </w:pPr>
      <w:r>
        <w:t xml:space="preserve">•  Google LLC v. CCI, 2023 SCC OnLine NCLAT 147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https://firstprecedent.org/tests/abuse-of-dominance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