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PR-0024 · Family</w:t>
      </w:r>
    </w:p>
    <w:p>
      <w:pPr>
        <w:pStyle w:val="Title"/>
      </w:pPr>
      <w:r>
        <w:t xml:space="preserve">Welfare of the Child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paramount consideration in custody and guardianship, over parental right and personal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Guardians and Wards Act, 1890, § 17</w:t>
      </w:r>
    </w:p>
    <w:p>
      <w:pPr>
        <w:pStyle w:val="Bullet"/>
      </w:pPr>
      <w:r>
        <w:t xml:space="preserve">•  Gaurav Nagpal v. Sumedha Nagpal, (2009) 1 SCC 42</w:t>
      </w:r>
    </w:p>
    <w:p>
      <w:pPr>
        <w:pStyle w:val="Bullet"/>
      </w:pPr>
      <w:r>
        <w:t xml:space="preserve">•  Githa Hariharan v. RBI, (1999) 2 SCC 228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https://firstprecedent.org/principles/welfare-of-the-child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