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PR-0070 · Criminal</w:t>
      </w:r>
    </w:p>
    <w:p>
      <w:pPr>
        <w:pStyle w:val="Title"/>
      </w:pPr>
      <w:r>
        <w:t xml:space="preserve">Victim Compensation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court’s duty to consider compensation in every criminal case and to record its reasons either way.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357 (now Bharatiya Nagarik Suraksha Sanhita, 2023, § 395)</w:t>
      </w:r>
    </w:p>
    <w:p>
      <w:pPr>
        <w:pStyle w:val="Bullet"/>
      </w:pPr>
      <w:r>
        <w:t xml:space="preserve">•  Ankush Shivaji Gaikwad v. State of Maharashtra, (2013) 6 SCC 770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https://firstprecedent.org/principles/victim-compensation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