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PR-0047 · Tort</w:t>
      </w:r>
    </w:p>
    <w:p>
      <w:pPr>
        <w:pStyle w:val="Title"/>
      </w:pPr>
      <w:r>
        <w:t xml:space="preserve">Where There Is a Right, There Is a Remedy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every legal right carries a means of enforcing it, and how far Indian courts have acted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Ashby v. White, (1703) 2 Ld. Raym. 938</w:t>
      </w:r>
    </w:p>
    <w:p>
      <w:pPr>
        <w:pStyle w:val="Bullet"/>
      </w:pPr>
      <w:r>
        <w:t xml:space="preserve">•  Code of Civil Procedure, 1908,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https://firstprecedent.org/principles/ubi-jus-ibi-remedium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