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PR-0115 · Banking</w:t>
      </w:r>
    </w:p>
    <w:p>
      <w:pPr>
        <w:pStyle w:val="Title"/>
      </w:pPr>
      <w:r>
        <w:t xml:space="preserve">Time-Bound Resolution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Speed as an object of the insolvency code, the statutory deadlines, and how far the courts treat them as binding.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12</w:t>
      </w:r>
    </w:p>
    <w:p>
      <w:pPr>
        <w:pStyle w:val="Bullet"/>
      </w:pPr>
      <w:r>
        <w:t xml:space="preserve">•  Innoventive Industries Ltd. v. ICICI Bank, (2018) 1 SCC 407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https://firstprecedent.org/principles/time-bound-resolution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