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PR-0122 · IP</w:t>
      </w:r>
    </w:p>
    <w:p>
      <w:pPr>
        <w:pStyle w:val="Title"/>
      </w:pPr>
      <w:r>
        <w:t xml:space="preserve">Territoriality of Trade Marks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reputation must be shown in India, as against the view that reputation anywhere is enough.</w:t>
      </w:r>
    </w:p>
    <w:p>
      <w:pPr>
        <w:pStyle w:val="Guidance"/>
      </w:pPr>
      <w:r>
        <w:t xml:space="preserve">Authorities to start from. These are places to begin, listed by the editors. Read each one in the original and check the citation before you rely on it.</w:t>
      </w:r>
    </w:p>
    <w:p>
      <w:pPr>
        <w:pStyle w:val="Bullet"/>
      </w:pPr>
      <w:r>
        <w:t xml:space="preserve">•  Toyota Jidosha Kabushiki Kaisha v. Prius Auto Industries Ltd., (2018)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https://firstprecedent.org/principles/territoriality-of-trade-marks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