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PR-0020 · Environment</w:t>
      </w:r>
    </w:p>
    <w:p>
      <w:pPr>
        <w:pStyle w:val="Title"/>
      </w:pPr>
      <w:r>
        <w:t xml:space="preserve">Sustainable Development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balancing concept between development and ecology, and whether it decides cases or only describes their outcome.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Vellore Citizens’ Welfare Forum v. Union of India, (1996) 5 SCC 647</w:t>
      </w:r>
    </w:p>
    <w:p>
      <w:pPr>
        <w:pStyle w:val="Bullet"/>
      </w:pPr>
      <w:r>
        <w:t xml:space="preserve">•  Narmada Bachao Andolan v. Union of India, (2000) 10 SCC 664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https://firstprecedent.org/principles/sustainable-development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