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PR-0052 · Constitutional</w:t>
      </w:r>
    </w:p>
    <w:p>
      <w:pPr>
        <w:pStyle w:val="Title"/>
      </w:pPr>
      <w:r>
        <w:t xml:space="preserve">Substantive Equality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Equality understood as redress of real disadvantage and not only as like treatment, and its place in reading Articles 14 to 16.</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Kerala v. N.M. Thomas, (1976) 2 SCC 310</w:t>
      </w:r>
    </w:p>
    <w:p>
      <w:pPr>
        <w:pStyle w:val="Bullet"/>
      </w:pPr>
      <w:r>
        <w:t xml:space="preserve">•  Lt. Col. Nitisha v. Union of India, (2021) 15 SCC 125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https://firstprecedent.org/principles/substantive-equality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