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PR-0015 · Criminal</w:t>
      </w:r>
    </w:p>
    <w:p>
      <w:pPr>
        <w:pStyle w:val="Title"/>
      </w:pPr>
      <w:r>
        <w:t xml:space="preserve">Speedy Trial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Delay as a violation of Article 21: why the Court refused to fix time limits, and what an accused can obtain.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Hussainara Khatoon v. State of Bihar, (1980) 1 SCC 81</w:t>
      </w:r>
    </w:p>
    <w:p>
      <w:pPr>
        <w:pStyle w:val="Bullet"/>
      </w:pPr>
      <w:r>
        <w:t xml:space="preserve">•  Abdul Rehman Antulay v. R.S. Nayak, (1992) 1 SCC 225</w:t>
      </w:r>
    </w:p>
    <w:p>
      <w:pPr>
        <w:pStyle w:val="Bullet"/>
      </w:pPr>
      <w:r>
        <w:t xml:space="preserve">•  P. Ramachandra Rao v. State of Karnataka, (2002) 4 SCC 578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https://firstprecedent.org/principles/speedy-trial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