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PR-0033 · Labour</w:t>
      </w:r>
    </w:p>
    <w:p>
      <w:pPr>
        <w:pStyle w:val="Title"/>
      </w:pPr>
      <w:r>
        <w:t xml:space="preserve">Social Justice in Industrial Adjudication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Industrial tribunals may create new rights and obligations between employer and workmen, beyond the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Bank Ltd. v. Employees, AIR 1950 SC 188</w:t>
      </w:r>
    </w:p>
    <w:p>
      <w:pPr>
        <w:pStyle w:val="Bullet"/>
      </w:pPr>
      <w:r>
        <w:t xml:space="preserve">•  Workmen v. Hindustan Lever Ltd., (1984) 1 SCC 728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https://firstprecedent.org/principles/social-justice-in-labour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