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PR-0012 · Criminal</w:t>
      </w:r>
    </w:p>
    <w:p>
      <w:pPr>
        <w:pStyle w:val="Title"/>
      </w:pPr>
      <w:r>
        <w:t xml:space="preserve">The Rule against Self-Incrimination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Article 20(3): who is "accused", what is "testimonial compulsion", and where bodily samples and forced tests fall.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M.P. Sharma v. Satish Chandra, AIR 1954 SC 300</w:t>
      </w:r>
    </w:p>
    <w:p>
      <w:pPr>
        <w:pStyle w:val="Bullet"/>
      </w:pPr>
      <w:r>
        <w:t xml:space="preserve">•  State of Bombay v. Kathi Kalu Oghad, AIR 1961 SC 1808</w:t>
      </w:r>
    </w:p>
    <w:p>
      <w:pPr>
        <w:pStyle w:val="Bullet"/>
      </w:pPr>
      <w:r>
        <w:t xml:space="preserve">•  Selvi v. State of Karnataka, (2010) 7 SCC 263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https://firstprecedent.org/principles/rule-against-self-incrimination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