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PR-0003 · Administrative</w:t>
      </w:r>
    </w:p>
    <w:p>
      <w:pPr>
        <w:pStyle w:val="Title"/>
      </w:pPr>
      <w:r>
        <w:t xml:space="preserve">The Rule against Bias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No one may judge their own cause: pecuniary, personal and official bias, and the test of real likelihood.</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Kraipak v. Union of India, (1969) 2 SCC 262</w:t>
      </w:r>
    </w:p>
    <w:p>
      <w:pPr>
        <w:pStyle w:val="Bullet"/>
      </w:pPr>
      <w:r>
        <w:t xml:space="preserve">•  Manak Lal v. Dr. Prem Chand Singhvi, AIR 1957 SC 425</w:t>
      </w:r>
    </w:p>
    <w:p>
      <w:pPr>
        <w:pStyle w:val="Bullet"/>
      </w:pPr>
      <w:r>
        <w:t xml:space="preserve">•  Ranjit Thakur v. Union of India, (1987) 4 SCC 611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https://firstprecedent.org/principles/rule-against-bias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