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PR-0058 · Constitutional</w:t>
      </w:r>
    </w:p>
    <w:p>
      <w:pPr>
        <w:pStyle w:val="Title"/>
      </w:pPr>
      <w:r>
        <w:t xml:space="preserve">Right to Know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citizen’s right to information about public affairs as part of free speech, before and beyond the 2005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U.P. v. Raj Narain, (1975) 4 SCC 428</w:t>
      </w:r>
    </w:p>
    <w:p>
      <w:pPr>
        <w:pStyle w:val="Bullet"/>
      </w:pPr>
      <w:r>
        <w:t xml:space="preserve">•  S.P. Gupta v. Union of India, 1981 Supp SCC 87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https://firstprecedent.org/principles/right-to-know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