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PR-0002 · Administrative</w:t>
      </w:r>
    </w:p>
    <w:p>
      <w:pPr>
        <w:pStyle w:val="Title"/>
      </w:pPr>
      <w:r>
        <w:t xml:space="preserve">The Right to Be Heard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Notice, disclosure and a fair chance to answer: what a hearing must contain, and the "useless formality" exception.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Orissa v. Binapani Dei, AIR 1967 SC 1269</w:t>
      </w:r>
    </w:p>
    <w:p>
      <w:pPr>
        <w:pStyle w:val="Bullet"/>
      </w:pPr>
      <w:r>
        <w:t xml:space="preserve">•  Swadeshi Cotton Mills v. Union of India, (1981) 1 SCC 664</w:t>
      </w:r>
    </w:p>
    <w:p>
      <w:pPr>
        <w:pStyle w:val="Bullet"/>
      </w:pPr>
      <w:r>
        <w:t xml:space="preserve">•  S.L. Kapoor v. Jagmohan, (1980) 4 SCC 379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https://firstprecedent.org/principles/right-to-be-heard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