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PR-0082 · Evidence</w:t>
      </w:r>
    </w:p>
    <w:p>
      <w:pPr>
        <w:pStyle w:val="Title"/>
      </w:pPr>
      <w:r>
        <w:t xml:space="preserve">Retracted 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confession later withdrawn, and the rule of prudence that it be corroborated in material particulars.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Pyare Lal Bhargava v. State of Rajasthan, AIR 1963 SC 1094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https://firstprecedent.org/principles/retracted-confession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