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PR-0046 · Civil Procedure</w:t>
      </w:r>
    </w:p>
    <w:p>
      <w:pPr>
        <w:pStyle w:val="Title"/>
      </w:pPr>
      <w:r>
        <w:t xml:space="preserve">Restitution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party who gained under an order later set aside must restore what was gained; no one should suffer by an act of the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144</w:t>
      </w:r>
    </w:p>
    <w:p>
      <w:pPr>
        <w:pStyle w:val="Bullet"/>
      </w:pPr>
      <w:r>
        <w:t xml:space="preserve">•  South Eastern Coalfields Ltd. v. State of M.P., (2003) 8 SCC 648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