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PR-0159 · International (Public)</w:t>
      </w:r>
    </w:p>
    <w:p>
      <w:pPr>
        <w:pStyle w:val="Title"/>
      </w:pPr>
      <w:r>
        <w:t xml:space="preserve">Reparation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State responsible for a wrongful act must wipe out its consequences as far as possible.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Factory at Chorzów (Ger. v. Pol.), 1928 P.C.I.J. (ser. A) No.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https://firstprecedent.org/principles/reparation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