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PR-0041 · Tech &amp; Data</w:t>
      </w:r>
    </w:p>
    <w:p>
      <w:pPr>
        <w:pStyle w:val="Title"/>
      </w:pPr>
      <w:r>
        <w:t xml:space="preserve">Purpose 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Personal data may be used only for the purpose for which it was collected, and must be erased when that purpose is served.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4–8</w:t>
      </w:r>
    </w:p>
    <w:p>
      <w:pPr>
        <w:pStyle w:val="Bullet"/>
      </w:pPr>
      <w:r>
        <w:t xml:space="preserve">•  K.S. Puttaswamy (Aadhaar) v. Union of India, (2019)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https://firstprecedent.org/principles/purpose-limitation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