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PR-0040 · IP</w:t>
      </w:r>
    </w:p>
    <w:p>
      <w:pPr>
        <w:pStyle w:val="Title"/>
      </w:pPr>
      <w:r>
        <w:t xml:space="preserve">Public Interest in Patent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Patents are granted to benefit the public: the statutory statement of principle and its use in compulsory licensing and injunctions.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83, 84</w:t>
      </w:r>
    </w:p>
    <w:p>
      <w:pPr>
        <w:pStyle w:val="Bullet"/>
      </w:pPr>
      <w:r>
        <w:t xml:space="preserve">•  Bayer Corpn. v. Union of India, 2014 SCC OnLine Bom 963</w:t>
      </w:r>
    </w:p>
    <w:p>
      <w:pPr>
        <w:pStyle w:val="Bullet"/>
      </w:pPr>
      <w:r>
        <w:t xml:space="preserve">•  Novartis AG v. Union of India, (2013) 6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https://firstprecedent.org/principles/public-interest-in-patents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