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PR-0097 · Contract</w:t>
      </w:r>
    </w:p>
    <w:p>
      <w:pPr>
        <w:pStyle w:val="Title"/>
      </w:pPr>
      <w:r>
        <w:t xml:space="preserve">Proximate Cause in Insurance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insurer answers only for loss whose dominant and effective cause is a peril insured against.</w:t>
      </w:r>
    </w:p>
    <w:p>
      <w:pPr>
        <w:pStyle w:val="Guidance"/>
      </w:pPr>
      <w:r>
        <w:t xml:space="preserve">Authorities to start from. These are places to begin, listed by the editors. Read each one in the original and check the citation before you rely on it.</w:t>
      </w:r>
    </w:p>
    <w:p>
      <w:pPr>
        <w:pStyle w:val="Bullet"/>
      </w:pPr>
      <w:r>
        <w:t xml:space="preserve">•  New India Assurance Co. Ltd. v. Zuari Industries Ltd., (2009) 9 SCC 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https://firstprecedent.org/principles/proximate-cause-in-insurance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