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PR-0067 · Criminal</w:t>
      </w:r>
    </w:p>
    <w:p>
      <w:pPr>
        <w:pStyle w:val="Title"/>
      </w:pPr>
      <w:r>
        <w:t xml:space="preserve">Proof beyond Reasonable Doubt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standard to which guilt must be proved, what a reasonable doubt is, and why the accused gets the benefit of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3</w:t>
      </w:r>
    </w:p>
    <w:p>
      <w:pPr>
        <w:pStyle w:val="Bullet"/>
      </w:pPr>
      <w:r>
        <w:t xml:space="preserve">•  Kali Ram v. State of H.P., (1973) 2 SCC 808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https://firstprecedent.org/principles/proof-beyond-reasonable-doubt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