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PR-0133 · Arbitration</w:t>
      </w:r>
    </w:p>
    <w:p>
      <w:pPr>
        <w:pStyle w:val="Title"/>
      </w:pPr>
      <w:r>
        <w:t xml:space="preserve">Pro-Enforcement Bias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approach that the grounds for refusing a foreign award are narrow and to be read in favour of enforcement.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Vijay Karia v. Prysmian Cavi E Sistemi SRL, (2020) 11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https://firstprecedent.org/principles/pro-enforcement-bias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