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PR-0044 · Human Rights</w:t>
      </w:r>
    </w:p>
    <w:p>
      <w:pPr>
        <w:pStyle w:val="Title"/>
      </w:pPr>
      <w:r>
        <w:t xml:space="preserve">Prisoners Keep Their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convict loses liberty by the sentence and keeps every other fundamental right that imprisonment does not necessarily remove.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Sunil Batra v. Delhi Administration, (1978) 4 SCC 494</w:t>
      </w:r>
    </w:p>
    <w:p>
      <w:pPr>
        <w:pStyle w:val="Bullet"/>
      </w:pPr>
      <w:r>
        <w:t xml:space="preserve">•  Charles Sobraj v. Superintendent, Central Jail, (1978) 4 SCC 104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https://firstprecedent.org/principles/prisoners-rights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