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PR-0010 · Criminal</w:t>
      </w:r>
    </w:p>
    <w:p>
      <w:pPr>
        <w:pStyle w:val="Title"/>
      </w:pPr>
      <w:r>
        <w:t xml:space="preserve">The Presumption of Innocence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accused is innocent until proved guilty beyond reasonable doubt: its status as a human right and its tension with reverse burdens.</w:t>
      </w:r>
    </w:p>
    <w:p>
      <w:pPr>
        <w:pStyle w:val="Guidance"/>
      </w:pPr>
      <w:r>
        <w:t xml:space="preserve">Authorities to start from. These are places to begin, listed by the editors. Read each one in the original and check the citation before you rely on it.</w:t>
      </w:r>
    </w:p>
    <w:p>
      <w:pPr>
        <w:pStyle w:val="Bullet"/>
      </w:pPr>
      <w:r>
        <w:t xml:space="preserve">•  Noor Aga v. State of Punjab, (2008) 16 SCC 417</w:t>
      </w:r>
    </w:p>
    <w:p>
      <w:pPr>
        <w:pStyle w:val="Bullet"/>
      </w:pPr>
      <w:r>
        <w:t xml:space="preserve">•  Woolmington v. DPP, [1935] AC 462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https://firstprecedent.org/principles/presumption-of-innocence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