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PR-0102 · Property</w:t>
      </w:r>
    </w:p>
    <w:p>
      <w:pPr>
        <w:pStyle w:val="Title"/>
      </w:pPr>
      <w:r>
        <w:t xml:space="preserve">Possessory Title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peaceful possession is good against everyone except the true owner.</w:t>
      </w:r>
    </w:p>
    <w:p>
      <w:pPr>
        <w:pStyle w:val="Guidance"/>
      </w:pPr>
      <w:r>
        <w:t xml:space="preserve">Authorities to start from. These are places to begin, listed by the editors. Read each one in the original and check the citation before you rely on it.</w:t>
      </w:r>
    </w:p>
    <w:p>
      <w:pPr>
        <w:pStyle w:val="Bullet"/>
      </w:pPr>
      <w:r>
        <w:t xml:space="preserve">•  Nair Service Society Ltd. v. K.C. Alexander, AIR 1968 SC 1165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https://firstprecedent.org/principles/possessory-title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