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PR-0042 · International (Public)</w:t>
      </w:r>
    </w:p>
    <w:p>
      <w:pPr>
        <w:pStyle w:val="Title"/>
      </w:pPr>
      <w:r>
        <w:t xml:space="preserve">Pacta Sunt Servanda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Treaties must be performed in good faith: what that requires of a State whose courts cannot enforce an unincorporated treaty.</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26, May 23, 1969, 1155 U.N.T.S. 331</w:t>
      </w:r>
    </w:p>
    <w:p>
      <w:pPr>
        <w:pStyle w:val="Bullet"/>
      </w:pPr>
      <w:r>
        <w:t xml:space="preserve">•  India Const. art. 51(c)</w:t>
      </w:r>
    </w:p>
    <w:p>
      <w:pPr>
        <w:pStyle w:val="Bullet"/>
      </w:pPr>
      <w:r>
        <w:t xml:space="preserve">•  Jolly George Varghese v. Bank of Cochin, (1980) 2 SCC 360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https://firstprecedent.org/principles/pacta-sunt-servanda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