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PR-0030 · Media</w:t>
      </w:r>
    </w:p>
    <w:p>
      <w:pPr>
        <w:pStyle w:val="Title"/>
      </w:pPr>
      <w:r>
        <w:t xml:space="preserve">Open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Courts sit in public and may be reported: the principle, its exceptions, and live-streaming.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Naresh Shridhar Mirajkar v. State of Maharashtra, AIR 1967 SC 1</w:t>
      </w:r>
    </w:p>
    <w:p>
      <w:pPr>
        <w:pStyle w:val="Bullet"/>
      </w:pPr>
      <w:r>
        <w:t xml:space="preserve">•  Swapnil Tripathi v. Supreme Court of India, (2018) 10 SCC 639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https://firstprecedent.org/principles/open-justice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