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PR-0008 · Constitutional</w:t>
      </w:r>
    </w:p>
    <w:p>
      <w:pPr>
        <w:pStyle w:val="Title"/>
      </w:pPr>
      <w:r>
        <w:t xml:space="preserve">Non-Retrogression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State may not take back rights once recognised: the principle’s arrival in Indian law and its uncertain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Navtej Singh Johar v. Union of India, (2018)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https://firstprecedent.org/principles/non-retrogression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