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PR-0029 · International (Public)</w:t>
      </w:r>
    </w:p>
    <w:p>
      <w:pPr>
        <w:pStyle w:val="Title"/>
      </w:pPr>
      <w:r>
        <w:t xml:space="preserve">Non-Refoulement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bar on returning a person to persecution: its status in a country that has not signed the Refugee Convention.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National Human Rights Commission v. State of Arunachal Pradesh, (1996) 1 SCC 742</w:t>
      </w:r>
    </w:p>
    <w:p>
      <w:pPr>
        <w:pStyle w:val="Bullet"/>
      </w:pPr>
      <w:r>
        <w:t xml:space="preserve">•  Mohammad Salimullah v. Union of India, (2021) 20 SCC 191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https://firstprecedent.org/principles/non-refoulement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