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PR-0136 · International (Public)</w:t>
      </w:r>
    </w:p>
    <w:p>
      <w:pPr>
        <w:pStyle w:val="Title"/>
      </w:pPr>
      <w:r>
        <w:t xml:space="preserve">Non-Intervention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no State may coerce another in matters within its domestic jurisdiction.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2(7)</w:t>
      </w:r>
    </w:p>
    <w:p>
      <w:pPr>
        <w:pStyle w:val="Bullet"/>
      </w:pPr>
      <w:r>
        <w:t xml:space="preserve">•  Military and Paramilitary Activities in and against Nicaragua (Nicar. v. U.S.), Judgment, 1986 I.C.J. 14 (June 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https://firstprecedent.org/principles/non-intervention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