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PR-0155 · Legal History</w:t>
      </w:r>
    </w:p>
    <w:p>
      <w:pPr>
        <w:pStyle w:val="Title"/>
      </w:pPr>
      <w:r>
        <w:t xml:space="preserve">Non-Interference in Personal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colonial policy of leaving family and religious matters to each community’s own law, from 1772 to the Queen’s Proclamation.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Warren Hastings’ Judicial Plan of 1772</w:t>
      </w:r>
    </w:p>
    <w:p>
      <w:pPr>
        <w:pStyle w:val="Bullet"/>
      </w:pPr>
      <w:r>
        <w:t xml:space="preserve">•  Queen Victoria’s Proclamation, Nov. 1, 1858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https://firstprecedent.org/principles/non-interference-in-personal-law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