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PR-0005 · Constitutional</w:t>
      </w:r>
    </w:p>
    <w:p>
      <w:pPr>
        <w:pStyle w:val="Title"/>
      </w:pPr>
      <w:r>
        <w:t xml:space="preserve">Non-Arbitrariness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Equality as the opposite of arbitrariness: the "new doctrine" under Article 14 and its use against State action of every kind.</w:t>
      </w:r>
    </w:p>
    <w:p>
      <w:pPr>
        <w:pStyle w:val="Guidance"/>
      </w:pPr>
      <w:r>
        <w:t xml:space="preserve">Authorities to start from. These are places to begin, listed by the editors. Read each one in the original and check the citation before you rely on it.</w:t>
      </w:r>
    </w:p>
    <w:p>
      <w:pPr>
        <w:pStyle w:val="Bullet"/>
      </w:pPr>
      <w:r>
        <w:t xml:space="preserve">•  E.P. Royappa v. State of T.N., (1974) 4 SCC 3</w:t>
      </w:r>
    </w:p>
    <w:p>
      <w:pPr>
        <w:pStyle w:val="Bullet"/>
      </w:pPr>
      <w:r>
        <w:t xml:space="preserve">•  Ramana Dayaram Shetty v. International Airport Authority of India, (1979) 3 SCC 489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https://firstprecedent.org/principles/non-arbitrariness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