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PR-0160 · International (Public)</w:t>
      </w:r>
    </w:p>
    <w:p>
      <w:pPr>
        <w:pStyle w:val="Title"/>
      </w:pPr>
      <w:r>
        <w:t xml:space="preserve">Non-Appropriation of Outer Space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outer space and the celestial bodies cannot be claimed by any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Treaty on Principles Governing the Activities of States in the Exploration and Use of Outer Space, Jan. 27, 1967, 610 U.N.T.S. 205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https://firstprecedent.org/principles/non-appropriation-of-outer-space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