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PR-0059 · Tax</w:t>
      </w:r>
    </w:p>
    <w:p>
      <w:pPr>
        <w:pStyle w:val="Title"/>
      </w:pPr>
      <w:r>
        <w:t xml:space="preserve">No Tax without Authority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constitutional rule that every levy and collection of tax must rest on a valid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https://firstprecedent.org/principles/no-tax-without-authority-of-law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