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PR-0013 · Criminal</w:t>
      </w:r>
    </w:p>
    <w:p>
      <w:pPr>
        <w:pStyle w:val="Title"/>
      </w:pPr>
      <w:r>
        <w:t xml:space="preserve">No Punishment without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Article 20(1): the bar on retrospective crimes and heavier penalties, and why it does not reach procedure.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20(1)</w:t>
      </w:r>
    </w:p>
    <w:p>
      <w:pPr>
        <w:pStyle w:val="Bullet"/>
      </w:pPr>
      <w:r>
        <w:t xml:space="preserve">•  Rao Shiv Bahadur Singh v. State of Vindhya Pradesh, AIR 1953 SC 394</w:t>
      </w:r>
    </w:p>
    <w:p>
      <w:pPr>
        <w:pStyle w:val="Bullet"/>
      </w:pPr>
      <w:r>
        <w:t xml:space="preserve">•  Rattan Lal v. State of Punjab, AIR 1965 SC 444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https://firstprecedent.org/principles/no-punishment-without-law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