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PR-0127 · Media</w:t>
      </w:r>
    </w:p>
    <w:p>
      <w:pPr>
        <w:pStyle w:val="Title"/>
      </w:pPr>
      <w:r>
        <w:t xml:space="preserve">No Heckler’s Veto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State must protect lawful speech from those who threaten violence, not silence the speaker.</w:t>
      </w:r>
    </w:p>
    <w:p>
      <w:pPr>
        <w:pStyle w:val="Guidance"/>
      </w:pPr>
      <w:r>
        <w:t xml:space="preserve">Authorities to start from. These are places to begin, listed by the editors. Read each one in the original and check the citation before you rely on it.</w:t>
      </w:r>
    </w:p>
    <w:p>
      <w:pPr>
        <w:pStyle w:val="Bullet"/>
      </w:pPr>
      <w:r>
        <w:t xml:space="preserve">•  S. Rangarajan v. P. Jagjivan Ram, (1989) 2 SCC 574</w:t>
      </w:r>
    </w:p>
    <w:p>
      <w:pPr>
        <w:pStyle w:val="Bullet"/>
      </w:pPr>
      <w:r>
        <w:t xml:space="preserve">•  Prakash Jha Productions v. Union of India, (2011) 8 SCC 372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https://firstprecedent.org/principles/no-hecklers-veto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