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PR-0077 · Human Rights</w:t>
      </w:r>
    </w:p>
    <w:p>
      <w:pPr>
        <w:pStyle w:val="Title"/>
      </w:pPr>
      <w:r>
        <w:t xml:space="preserve">No Routine Handcuffing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fetters may be used only on recorded reasons that the prisoner is likely to escape or turn violent.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Prem Shankar Shukla v. Delhi Administration, (1980) 3 SCC 526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https://firstprecedent.org/principles/no-handcuffing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