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PR-0025 · Tax</w:t>
      </w:r>
    </w:p>
    <w:p>
      <w:pPr>
        <w:pStyle w:val="Title"/>
      </w:pPr>
      <w:r>
        <w:t xml:space="preserve">No Equity in Taxation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A subject is taxed only by clear words; there is no room for intendment or presumption about a charging provision.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CIT v. B.C. Srinivasa Setty, (1981) 2 SCC 460</w:t>
      </w:r>
    </w:p>
    <w:p>
      <w:pPr>
        <w:pStyle w:val="Bullet"/>
      </w:pPr>
      <w:r>
        <w:t xml:space="preserve">•  Mathuram Agrawal v. State of M.P., (1999) 8 SCC 667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https://firstprecedent.org/principles/no-equity-in-taxation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